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183</w:t>
      </w:r>
    </w:p>
    <w:p>
      <w:r>
        <w:t>Bundesgericht (BGE), 2001-04-20, DE</w:t>
      </w:r>
    </w:p>
    <w:p>
      <w:r>
        <w:rPr>
          <w:b/>
        </w:rPr>
        <w:t xml:space="preserve">Quelle: </w:t>
      </w:r>
      <w:r>
        <w:t>https://mcp.opencaselaw.ch/entscheid/bge_127 V 183</w:t>
      </w:r>
    </w:p>
    <w:p>
      <w:r>
        <w:t>FR: ATF 127 V 183</w:t>
      </w:r>
    </w:p>
    <w:p>
      <w:r>
        <w:t>IT: DTF 127 V 183</w:t>
      </w:r>
    </w:p>
    <w:p>
      <w:pPr>
        <w:pStyle w:val="Heading2"/>
      </w:pPr>
      <w:r>
        <w:t>Regeste</w:t>
      </w:r>
    </w:p>
    <w:p>
      <w:r>
        <w:t>Regeste Art. 51 AVIG; Art. 333 OR: Insolvenzentschädigung. Arbeitnehmer können unabhängig davon, ob ein Anwendungsfall von Art. 333 OR (Übergang des Arbeitsverhältnisses bei Übertragung des Betriebes oder eines Betriebsteiles auf einen Dritten) vorliegt, Insolvenzentschädigung beanspruchen, sofern die Voraussetzungen gemäss Art. 51 AVIG in Bezug auf den bisherigen Arbeitgeber oder die bisherige Arbeitgeberin erfüllt sind.</w:t>
      </w:r>
    </w:p>
    <w:p>
      <w:pPr>
        <w:pStyle w:val="Heading2"/>
      </w:pPr>
      <w:r>
        <w:t>Erwägungen</w:t>
      </w:r>
    </w:p>
    <w:p>
      <w:r>
        <w:rPr>
          <w:b/>
        </w:rPr>
        <w:t>E. 2</w:t>
      </w:r>
    </w:p>
    <w:p>
      <w:r>
        <w:t>Streitig und zu prüfen ist, ob die Beschwerdegegner nach Massgabe von Art. 51 Abs. 1 lit. a AVIG Anspruch auf Insolvenzentschädigung haben. Unter den Parteien besteht Uneinigkeit BGE 127 V 183 S. 185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 b) Der gesetzliche Zweck der Insolvenzentschädigung besteht im Schutz der Lohnguthaben der Arbeitnehmer und in der Sicherstellung des Lebensunterhaltes der Arbeitnehmer im Konkursfall des Arbeitgebers (BBl 1980 III 534f. und 606; BGE 114 V 58 Erw. 3c). Diesem Zweck entsprechend können nur effektive Lohnansprüche, welche von der versicherten Person zumindest glaubhaft zu machen sind ( Art. 74 AVIV ), Gegenstand des Anspruchs auf Insolvenzentschädigung bilden (ARV 1998 Nr. 12 S. 62 Erw. 3a). 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BGE 127 V 183 S. 186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1977/187/EWG des Rates vom 14. Februar 1977 zur Angleichung der Rechtsvorschriften der Mitgliedstaaten über die Wahrung von Ansprüchen der Arbeitnehmer beim Übergang von Unternehmen, Betrieben oder Betriebsteilen (ABl. L 61, vom 5. März 1977, S. 26 ff.; modifiziert durch die Richtlinie 1998/50/EG des Rates vom 29. Juni 1998 [ABl. L 201, vom 17. Juli 1998, S. 88])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ADRIAN STAEHELIN, Zürcher Kommentar, Der Arbeitsvertrag: Art. 319-362 OR , 3. Aufl., Zürich 1996, N 1 zu Art. 333 OR ; MANFRED REHBINDER, Berner Kommentar, Kommentar zu den Art. 331-335 OR , Bern 1992, N 2 zu Art. 333 OR ; MICHAEL E. WINKLER, Unternehmensumwandlungen und ihre Auswirkungen auf Arbeitsverträge, Diss. Zürich 2000, S. 29 f.; WOLFGANG PORTMANN, Individualarbeitsrecht, Zürich 2000, S. 182 Rz 839; BRUNNER/BÜHLER/WAEBER, Kommentar zum Arbeitsvertragsrecht, Deutsche Fassung der 2. Aufl., Basel/Frankfurt a.M. BGE 127 V 183 S. 187 1997, N 3 zu Art. 333 OR ; JÜRG BRÜHWILER, Kommentar zum Einzelarbeitsvertrag, 2. Aufl., Bern 1996, N 1 zu Art. 333 OR ; vgl. auch GABRIEL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 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 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BGE 127 V 183 S. 188 1998 S. 1417 ff.; WINKLER, a.a.O., S. 103 ff. mit Hinweisen einerseits auf die in der Literatur vorgeschlagenen Lösungsansätze zur einschränkenden Anwendung von Art. 333 OR und anderseits auf die Auswirkungen der neuen Betriebsübergangsrichtlinie 1998/50/EG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BGE 127 V 183 S. 189 vorleistungspflichtig. Gegen mögliche Missbräuche stünden ihr gegenüber der konkursiten Gesellschaft die paulianischen Anfechtungsklagen der Art. 285 ff. SchKG zur Verfügung. 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 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 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BGE 127 V 183 S. 190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 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BGE 127 V 183 S. 191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THOMAS GEISER, Betriebsübernahmen und Massenentlassungen im Zusammenhang mit Zwangsvollstreckungsverfahren, in: HASENBÖHLER/SCHNYDER [Hrsg.], Zivilprozessrecht, Arbeitsrecht, Kolloquium zu Ehren von Professor Adrian Staehelin, Zürich 1997, BGE 127 V 183 S. 192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 Das Sozialversicherungsgericht hat folglich im Rahmen der Beurteilung des Anspruchs auf Insolvenzentschädigung nicht zu prüfen (auch nicht vorfrageweise; vgl. dazu BGE 120 V 382 Erw. 3a mit Hinweisen), ob die Voraussetzungen des Art. 333 OR erfüllt sind. 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 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BGE 127 V 183 S. 193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 ihren Anspruch auf Insolvenzentschädigung unabhängig davon, ob ein Betriebsübergang stattgefunden hat, geltend machen können. 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 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Erw. 7b/bb mit Hinweisen), hat die Arbeitslosenversicherung allerdings ihrer Pflicht nachzukommen, ihre Forderungen auf dem Regressweg geltend zu machen ( Art. 54 Abs. 1 Satz 2 AVIG ; BGE 123 V 77 Erw. 2c). e) Nach dem Gesagten entspricht die Leistungspflicht der Arbeitslosenkasse für die umstrittene Insolvenzentschädigung und das Regressrecht der Verwaltung der geltenden Rechtslage. Wie die Beschwerdegegner zutreffend ausführen, ist es gegebenenfalls BGE 127 V 183 S. 194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BGE 127 V 183 S. 195 S. 53 Erw. 2). Die Arbeitslosenkasse anderseits kann ihr Regressrecht, das sie zwingend auszuüben hat ( BGE 123 V 77 Erw. 2b), gemäss Art. 54 AVIG gegenüber den bisherigen wie auch gegenüber den neuen Arbeitgebern geltend machen.</w:t>
      </w:r>
    </w:p>
    <w:p>
      <w:r>
        <w:rPr>
          <w:b/>
        </w:rPr>
        <w:t>E. 9</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